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61EB" w:rsidRDefault="00793FC6" w:rsidP="00793FC6">
      <w:pPr>
        <w:jc w:val="center"/>
        <w:rPr>
          <w:rFonts w:ascii="Arial" w:hAnsi="Arial" w:cs="Arial"/>
          <w:sz w:val="24"/>
          <w:szCs w:val="24"/>
        </w:rPr>
      </w:pPr>
      <w:r w:rsidRPr="00793FC6">
        <w:rPr>
          <w:rFonts w:ascii="Arial" w:hAnsi="Arial" w:cs="Arial"/>
          <w:sz w:val="24"/>
          <w:szCs w:val="24"/>
        </w:rPr>
        <w:t>Resolución</w:t>
      </w:r>
      <w:r w:rsidR="000D2C28">
        <w:rPr>
          <w:rFonts w:ascii="Arial" w:hAnsi="Arial" w:cs="Arial"/>
          <w:sz w:val="24"/>
          <w:szCs w:val="24"/>
        </w:rPr>
        <w:t xml:space="preserve"> Rector</w:t>
      </w:r>
    </w:p>
    <w:p w:rsidR="00793FC6" w:rsidRDefault="00793FC6" w:rsidP="00793FC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</w:t>
      </w:r>
    </w:p>
    <w:p w:rsidR="00793FC6" w:rsidRDefault="00793FC6" w:rsidP="00793FC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VISTO:</w:t>
      </w:r>
    </w:p>
    <w:p w:rsidR="00793FC6" w:rsidRDefault="00793FC6" w:rsidP="00793FC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propagación del Coronavirus (COVID-19) declarado como una pandemia por la Organización Mundial de la Salud, y</w:t>
      </w:r>
    </w:p>
    <w:p w:rsidR="00793FC6" w:rsidRDefault="00793FC6" w:rsidP="00793FC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CONSIDERANDO:</w:t>
      </w:r>
    </w:p>
    <w:p w:rsidR="00793FC6" w:rsidRDefault="00793FC6" w:rsidP="00793FC6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 la situación epidemiológica exige que se adopten medidas rápidas, eficaces y urgentes.</w:t>
      </w:r>
    </w:p>
    <w:p w:rsidR="00793FC6" w:rsidRDefault="00793FC6" w:rsidP="00793FC6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Que el Poder Ejecutivo Nacional ha decretado (DECNU-2020-260-APN-PTE) la emergencia sanitaria por </w:t>
      </w:r>
      <w:r w:rsidR="00531690"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n (1) año a partir de la entrada en vigencia de dicha norma.</w:t>
      </w:r>
    </w:p>
    <w:p w:rsidR="00DB3CB7" w:rsidRDefault="00793FC6" w:rsidP="00793FC6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 por Resolución Rector 028/20 se establecieron una serie de acciones en consonancia con las recomendaciones de</w:t>
      </w:r>
      <w:r w:rsidR="00DB3CB7">
        <w:rPr>
          <w:rFonts w:ascii="Arial" w:hAnsi="Arial" w:cs="Arial"/>
          <w:sz w:val="24"/>
          <w:szCs w:val="24"/>
        </w:rPr>
        <w:t xml:space="preserve"> los Ministerios de Salud y de Educación.</w:t>
      </w:r>
    </w:p>
    <w:p w:rsidR="00DB3CB7" w:rsidRDefault="00DB3CB7" w:rsidP="00793FC6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 resulta conveniente ampliar las medidas de prevención dispuestas tomando recaudos para evitar aglomeraciones en espacios cerrados a fin de disminuir los riesgos de contagio.</w:t>
      </w:r>
    </w:p>
    <w:p w:rsidR="00DB3CB7" w:rsidRDefault="00793FC6" w:rsidP="00793FC6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DB3CB7">
        <w:rPr>
          <w:rFonts w:ascii="Arial" w:hAnsi="Arial" w:cs="Arial"/>
          <w:sz w:val="24"/>
          <w:szCs w:val="24"/>
        </w:rPr>
        <w:t>Que el inicio del primer cuatrimestre, con un incremento considerable de estudiantes en relación a años anteriores, genera una masiva concurrencia en la Sede Central, los Centros Regionales y Delegaciones.</w:t>
      </w:r>
    </w:p>
    <w:p w:rsidR="00DB3CB7" w:rsidRDefault="00DB3CB7" w:rsidP="00793FC6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 la decisión adoptada por la presente se realiza en concordancia con la Resolución del Ministerio de Educación 104/20 de fecha 14 de marzo de 2020, la que establece que cada Universidad deberá evaluar su situación a los efectos de responder al funcionamiento de la misma en el marco de la actual contingencia.</w:t>
      </w:r>
    </w:p>
    <w:p w:rsidR="00DB3CB7" w:rsidRDefault="00DB3CB7" w:rsidP="00793FC6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 el presente acto se dicta en uso de las facultades conferidas por el Artículo 58 inciso “f” del Estatuto de la Universidad.</w:t>
      </w:r>
    </w:p>
    <w:p w:rsidR="00DB3CB7" w:rsidRDefault="00DB3CB7" w:rsidP="00DB3CB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 ello,</w:t>
      </w:r>
    </w:p>
    <w:p w:rsidR="00793FC6" w:rsidRDefault="00DB3CB7" w:rsidP="00DB3CB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RECTOR DE LA UNIVERSIDAD NACIONAL DE LUJÁN</w:t>
      </w:r>
    </w:p>
    <w:p w:rsidR="00DB3CB7" w:rsidRDefault="00DB3CB7" w:rsidP="00DB3CB7">
      <w:pPr>
        <w:jc w:val="center"/>
        <w:rPr>
          <w:rFonts w:ascii="Arial" w:hAnsi="Arial" w:cs="Arial"/>
          <w:sz w:val="24"/>
          <w:szCs w:val="24"/>
          <w:u w:val="single"/>
        </w:rPr>
      </w:pPr>
      <w:r w:rsidRPr="00DB3CB7">
        <w:rPr>
          <w:rFonts w:ascii="Arial" w:hAnsi="Arial" w:cs="Arial"/>
          <w:sz w:val="24"/>
          <w:szCs w:val="24"/>
          <w:u w:val="single"/>
        </w:rPr>
        <w:t>RESUELVE</w:t>
      </w:r>
    </w:p>
    <w:p w:rsidR="004E296B" w:rsidRDefault="00DB3CB7" w:rsidP="00DB3CB7">
      <w:pPr>
        <w:jc w:val="both"/>
        <w:rPr>
          <w:rFonts w:ascii="Arial" w:hAnsi="Arial" w:cs="Arial"/>
          <w:sz w:val="24"/>
          <w:szCs w:val="24"/>
        </w:rPr>
      </w:pPr>
      <w:r w:rsidRPr="00DB3CB7">
        <w:rPr>
          <w:rFonts w:ascii="Arial" w:hAnsi="Arial" w:cs="Arial"/>
          <w:sz w:val="24"/>
          <w:szCs w:val="24"/>
        </w:rPr>
        <w:t>Artículo 1</w:t>
      </w:r>
      <w:r>
        <w:rPr>
          <w:rFonts w:ascii="Arial" w:hAnsi="Arial" w:cs="Arial"/>
          <w:sz w:val="24"/>
          <w:szCs w:val="24"/>
        </w:rPr>
        <w:t>°: Eximir de presentarse en sus lugares de trabajo</w:t>
      </w:r>
      <w:r w:rsidR="004E296B">
        <w:rPr>
          <w:rFonts w:ascii="Arial" w:hAnsi="Arial" w:cs="Arial"/>
          <w:sz w:val="24"/>
          <w:szCs w:val="24"/>
        </w:rPr>
        <w:t>, hasta la fecha que defina el H. Consejo Superior de la Universidad Nacional de Luján,</w:t>
      </w:r>
      <w:r w:rsidR="004E296B" w:rsidRPr="004E296B">
        <w:rPr>
          <w:rFonts w:ascii="Arial" w:hAnsi="Arial" w:cs="Arial"/>
          <w:sz w:val="24"/>
          <w:szCs w:val="24"/>
        </w:rPr>
        <w:t xml:space="preserve"> </w:t>
      </w:r>
      <w:r w:rsidR="004E296B">
        <w:rPr>
          <w:rFonts w:ascii="Arial" w:hAnsi="Arial" w:cs="Arial"/>
          <w:sz w:val="24"/>
          <w:szCs w:val="24"/>
        </w:rPr>
        <w:t>a quienes integren los siguientes grupos:</w:t>
      </w:r>
    </w:p>
    <w:p w:rsidR="004E296B" w:rsidRDefault="004E296B" w:rsidP="004E296B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Embarazadas</w:t>
      </w:r>
    </w:p>
    <w:p w:rsidR="004E296B" w:rsidRDefault="004E296B" w:rsidP="004E296B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Personas con antecedentes respiratorios (asma, bronquitis crónica, etc.)</w:t>
      </w:r>
    </w:p>
    <w:p w:rsidR="004E296B" w:rsidRDefault="004E296B" w:rsidP="004E296B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Personas con antecedentes cardíacos</w:t>
      </w:r>
    </w:p>
    <w:p w:rsidR="004E296B" w:rsidRDefault="004E296B" w:rsidP="004E296B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Personas con Diabetes tipo 1 (</w:t>
      </w:r>
      <w:proofErr w:type="spellStart"/>
      <w:r>
        <w:rPr>
          <w:rFonts w:ascii="Arial" w:hAnsi="Arial" w:cs="Arial"/>
          <w:sz w:val="24"/>
          <w:szCs w:val="24"/>
        </w:rPr>
        <w:t>insulino</w:t>
      </w:r>
      <w:proofErr w:type="spellEnd"/>
      <w:r>
        <w:rPr>
          <w:rFonts w:ascii="Arial" w:hAnsi="Arial" w:cs="Arial"/>
          <w:sz w:val="24"/>
          <w:szCs w:val="24"/>
        </w:rPr>
        <w:t xml:space="preserve"> dependientes) </w:t>
      </w:r>
    </w:p>
    <w:p w:rsidR="004E296B" w:rsidRDefault="004E296B" w:rsidP="004E296B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Personas con insuficiencia renal</w:t>
      </w:r>
    </w:p>
    <w:p w:rsidR="004E296B" w:rsidRDefault="004E296B" w:rsidP="004E296B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Persona</w:t>
      </w:r>
      <w:r w:rsidR="000F0B47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que por indicación médica deban guardar aislamiento  (por ejemplo: familiares convivientes en grupos de riesgo)</w:t>
      </w:r>
    </w:p>
    <w:p w:rsidR="004E296B" w:rsidRDefault="00491506" w:rsidP="004E296B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Adultos mayores de 65 años</w:t>
      </w:r>
    </w:p>
    <w:p w:rsidR="004E296B" w:rsidRDefault="004E296B" w:rsidP="004E296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Artículo 2°: Suspender hasta el día 2</w:t>
      </w:r>
      <w:r w:rsidR="000F0B47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de marzo de 2020</w:t>
      </w:r>
      <w:r w:rsidR="002506F0">
        <w:rPr>
          <w:rFonts w:ascii="Arial" w:hAnsi="Arial" w:cs="Arial"/>
          <w:sz w:val="24"/>
          <w:szCs w:val="24"/>
        </w:rPr>
        <w:t xml:space="preserve">  inclusive</w:t>
      </w:r>
      <w:r>
        <w:rPr>
          <w:rFonts w:ascii="Arial" w:hAnsi="Arial" w:cs="Arial"/>
          <w:sz w:val="24"/>
          <w:szCs w:val="24"/>
        </w:rPr>
        <w:t>:</w:t>
      </w:r>
    </w:p>
    <w:p w:rsidR="008B35D6" w:rsidRDefault="004E296B" w:rsidP="004E296B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Las </w:t>
      </w:r>
      <w:r w:rsidR="001676AB">
        <w:rPr>
          <w:rFonts w:ascii="Arial" w:hAnsi="Arial" w:cs="Arial"/>
          <w:sz w:val="24"/>
          <w:szCs w:val="24"/>
        </w:rPr>
        <w:t>clases y pr</w:t>
      </w:r>
      <w:r w:rsidR="004560A1">
        <w:rPr>
          <w:rFonts w:ascii="Arial" w:hAnsi="Arial" w:cs="Arial"/>
          <w:sz w:val="24"/>
          <w:szCs w:val="24"/>
        </w:rPr>
        <w:t>á</w:t>
      </w:r>
      <w:bookmarkStart w:id="0" w:name="_GoBack"/>
      <w:bookmarkEnd w:id="0"/>
      <w:r w:rsidR="001676AB">
        <w:rPr>
          <w:rFonts w:ascii="Arial" w:hAnsi="Arial" w:cs="Arial"/>
          <w:sz w:val="24"/>
          <w:szCs w:val="24"/>
        </w:rPr>
        <w:t>cticas presenciales</w:t>
      </w:r>
      <w:r>
        <w:rPr>
          <w:rFonts w:ascii="Arial" w:hAnsi="Arial" w:cs="Arial"/>
          <w:sz w:val="24"/>
          <w:szCs w:val="24"/>
        </w:rPr>
        <w:t>.</w:t>
      </w:r>
    </w:p>
    <w:p w:rsidR="001676AB" w:rsidRDefault="001676AB" w:rsidP="004E296B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Las clases y prácticas de estudiantes en centros de salud o instituciones públicas o privadas.  </w:t>
      </w:r>
    </w:p>
    <w:p w:rsidR="008B35D6" w:rsidRPr="00491506" w:rsidRDefault="008B35D6" w:rsidP="004E296B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491506">
        <w:rPr>
          <w:rFonts w:ascii="Arial" w:hAnsi="Arial" w:cs="Arial"/>
          <w:sz w:val="24"/>
          <w:szCs w:val="24"/>
        </w:rPr>
        <w:t>Las actividades extracurriculares académicas o científicas, como conferencias, seminarios</w:t>
      </w:r>
      <w:r w:rsidR="002506F0" w:rsidRPr="00491506">
        <w:rPr>
          <w:rFonts w:ascii="Arial" w:hAnsi="Arial" w:cs="Arial"/>
          <w:sz w:val="24"/>
          <w:szCs w:val="24"/>
        </w:rPr>
        <w:t>,</w:t>
      </w:r>
      <w:r w:rsidRPr="00491506">
        <w:rPr>
          <w:rFonts w:ascii="Arial" w:hAnsi="Arial" w:cs="Arial"/>
          <w:sz w:val="24"/>
          <w:szCs w:val="24"/>
        </w:rPr>
        <w:t xml:space="preserve"> congresos y talleres</w:t>
      </w:r>
    </w:p>
    <w:p w:rsidR="008B35D6" w:rsidRDefault="008B35D6" w:rsidP="004E296B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Las actividades </w:t>
      </w:r>
      <w:r w:rsidR="008F1FB4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>extensión universitaria y deportivas</w:t>
      </w:r>
    </w:p>
    <w:p w:rsidR="001C5709" w:rsidRDefault="00531690" w:rsidP="004E296B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Las p</w:t>
      </w:r>
      <w:r w:rsidR="008B35D6">
        <w:rPr>
          <w:rFonts w:ascii="Arial" w:hAnsi="Arial" w:cs="Arial"/>
          <w:sz w:val="24"/>
          <w:szCs w:val="24"/>
        </w:rPr>
        <w:t>ruebas de oposición de concursos docentes y no docentes</w:t>
      </w:r>
    </w:p>
    <w:p w:rsidR="00DB3CB7" w:rsidRPr="001C5709" w:rsidRDefault="001C5709" w:rsidP="001C570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Artículo 3°: Constituir en el ámbito de Rectorado un Comité de Crisis integrado por el Rector, Vicerrectora, Secretarios del Rectorado, Directores Decanos, Vicedirectores Decanos, </w:t>
      </w:r>
      <w:r w:rsidR="00853C1C">
        <w:rPr>
          <w:rFonts w:ascii="Arial" w:hAnsi="Arial" w:cs="Arial"/>
          <w:sz w:val="24"/>
          <w:szCs w:val="24"/>
        </w:rPr>
        <w:t xml:space="preserve">Representantes del H. Consejo Superior, </w:t>
      </w:r>
      <w:r>
        <w:rPr>
          <w:rFonts w:ascii="Arial" w:hAnsi="Arial" w:cs="Arial"/>
          <w:sz w:val="24"/>
          <w:szCs w:val="24"/>
        </w:rPr>
        <w:t>Directores de Centros Regionales, Delegados Rectorales de Delegaciones, Representante de</w:t>
      </w:r>
      <w:r w:rsidR="00E01DE2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 xml:space="preserve"> gremio </w:t>
      </w:r>
      <w:proofErr w:type="spellStart"/>
      <w:r>
        <w:rPr>
          <w:rFonts w:ascii="Arial" w:hAnsi="Arial" w:cs="Arial"/>
          <w:sz w:val="24"/>
          <w:szCs w:val="24"/>
        </w:rPr>
        <w:t>nodocente</w:t>
      </w:r>
      <w:proofErr w:type="spellEnd"/>
      <w:r>
        <w:rPr>
          <w:rFonts w:ascii="Arial" w:hAnsi="Arial" w:cs="Arial"/>
          <w:sz w:val="24"/>
          <w:szCs w:val="24"/>
        </w:rPr>
        <w:t xml:space="preserve"> y Representantes de gremios docentes </w:t>
      </w:r>
      <w:r w:rsidR="00E01DE2">
        <w:rPr>
          <w:rFonts w:ascii="Arial" w:hAnsi="Arial" w:cs="Arial"/>
          <w:sz w:val="24"/>
          <w:szCs w:val="24"/>
        </w:rPr>
        <w:t>a efectos de analizar y evaluar  permanentemente el desarrollo de la emergencia sanitaria con el fin de implementar las acciones y medidas que se consideren más adecuadas para la comunidad universitaria y la ciudadanía en general.</w:t>
      </w:r>
    </w:p>
    <w:p w:rsidR="008B35D6" w:rsidRDefault="008B35D6" w:rsidP="008B35D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Artículo </w:t>
      </w:r>
      <w:r w:rsidR="001C5709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°: Convocar a sesión extraordinaria del H. Consejo Superior </w:t>
      </w:r>
      <w:r w:rsidR="00853C1C">
        <w:rPr>
          <w:rFonts w:ascii="Arial" w:hAnsi="Arial" w:cs="Arial"/>
          <w:sz w:val="24"/>
          <w:szCs w:val="24"/>
        </w:rPr>
        <w:t xml:space="preserve">para </w:t>
      </w:r>
      <w:r>
        <w:rPr>
          <w:rFonts w:ascii="Arial" w:hAnsi="Arial" w:cs="Arial"/>
          <w:sz w:val="24"/>
          <w:szCs w:val="24"/>
        </w:rPr>
        <w:t>el día 18 de marzo de 2020 a efectos de analizar la situación y acordar con los representantes de la comunidad universitaria las acciones a seguir con el fin de preservar la salud de sus integrantes y, al mismo tiempo; posibilitar, dentro de la complejidad de la crisis, el desarrollo de las actividades sustantivas.</w:t>
      </w:r>
    </w:p>
    <w:p w:rsidR="008B35D6" w:rsidRDefault="008B35D6" w:rsidP="008B35D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Artículo </w:t>
      </w:r>
      <w:r w:rsidR="001C5709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°: De forma </w:t>
      </w:r>
    </w:p>
    <w:p w:rsidR="008B35D6" w:rsidRPr="008B35D6" w:rsidRDefault="008B35D6" w:rsidP="008B35D6">
      <w:pPr>
        <w:jc w:val="both"/>
        <w:rPr>
          <w:rFonts w:ascii="Arial" w:hAnsi="Arial" w:cs="Arial"/>
          <w:sz w:val="24"/>
          <w:szCs w:val="24"/>
        </w:rPr>
      </w:pPr>
    </w:p>
    <w:p w:rsidR="008B35D6" w:rsidRPr="008B35D6" w:rsidRDefault="008B35D6" w:rsidP="008B35D6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DB3CB7" w:rsidRPr="00DB3CB7" w:rsidRDefault="00DB3CB7" w:rsidP="00DB3CB7">
      <w:pPr>
        <w:jc w:val="center"/>
        <w:rPr>
          <w:rFonts w:ascii="Arial" w:hAnsi="Arial" w:cs="Arial"/>
          <w:sz w:val="24"/>
          <w:szCs w:val="24"/>
          <w:u w:val="single"/>
        </w:rPr>
      </w:pPr>
    </w:p>
    <w:sectPr w:rsidR="00DB3CB7" w:rsidRPr="00DB3CB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0958E4"/>
    <w:multiLevelType w:val="hybridMultilevel"/>
    <w:tmpl w:val="D368EE5C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6458DF"/>
    <w:multiLevelType w:val="hybridMultilevel"/>
    <w:tmpl w:val="7A9E8334"/>
    <w:lvl w:ilvl="0" w:tplc="9CD046B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4A7951"/>
    <w:multiLevelType w:val="hybridMultilevel"/>
    <w:tmpl w:val="6D6EAFD8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FC6"/>
    <w:rsid w:val="000D2C28"/>
    <w:rsid w:val="000F0B47"/>
    <w:rsid w:val="001676AB"/>
    <w:rsid w:val="001961EB"/>
    <w:rsid w:val="001C5709"/>
    <w:rsid w:val="002506F0"/>
    <w:rsid w:val="004560A1"/>
    <w:rsid w:val="00491506"/>
    <w:rsid w:val="004E296B"/>
    <w:rsid w:val="00531690"/>
    <w:rsid w:val="005F3733"/>
    <w:rsid w:val="00793FC6"/>
    <w:rsid w:val="00853C1C"/>
    <w:rsid w:val="008B35D6"/>
    <w:rsid w:val="008F1FA7"/>
    <w:rsid w:val="008F1FB4"/>
    <w:rsid w:val="00DB3CB7"/>
    <w:rsid w:val="00E01DE2"/>
    <w:rsid w:val="00EC37BE"/>
    <w:rsid w:val="00FD4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B9D64964-FC77-4A51-8951-C70B0BBEF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93F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D28DB4-4EE4-4440-94D5-C67F01BC6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538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Lapolla</dc:creator>
  <cp:lastModifiedBy>Usuario</cp:lastModifiedBy>
  <cp:revision>3</cp:revision>
  <dcterms:created xsi:type="dcterms:W3CDTF">2020-03-15T16:36:00Z</dcterms:created>
  <dcterms:modified xsi:type="dcterms:W3CDTF">2020-03-15T16:37:00Z</dcterms:modified>
</cp:coreProperties>
</file>